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E66" w:rsidRPr="002D5571" w:rsidRDefault="00343F58" w:rsidP="00554EFD">
      <w:pPr>
        <w:spacing w:after="0" w:line="360" w:lineRule="auto"/>
        <w:jc w:val="both"/>
        <w:rPr>
          <w:rFonts w:cs="B Lotus"/>
          <w:b/>
          <w:bCs/>
          <w:sz w:val="32"/>
          <w:szCs w:val="32"/>
          <w:rtl/>
        </w:rPr>
      </w:pPr>
      <w:r w:rsidRPr="002D5571">
        <w:rPr>
          <w:rFonts w:cs="B Lotus" w:hint="cs"/>
          <w:b/>
          <w:bCs/>
          <w:sz w:val="32"/>
          <w:szCs w:val="32"/>
          <w:rtl/>
        </w:rPr>
        <w:t>فهرست منابع فارسی</w:t>
      </w:r>
    </w:p>
    <w:p w:rsidR="00343F58" w:rsidRPr="002D5571" w:rsidRDefault="00343F58" w:rsidP="00343F5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="B Lotus"/>
          <w:sz w:val="28"/>
          <w:szCs w:val="28"/>
        </w:rPr>
      </w:pPr>
      <w:r w:rsidRPr="002D5571">
        <w:rPr>
          <w:rFonts w:cs="B Lotus"/>
          <w:sz w:val="28"/>
          <w:szCs w:val="28"/>
          <w:rtl/>
        </w:rPr>
        <w:t>پهلوان، حميد و روح‌الله رضوي، اوراق صكوك: تعريف، انواع و ساختار. گزارش پژوهشي مديريت پژوهش، توسعه و مطالعات اسلامي وابسته به بورس اوراق بهادار تهران. 1386.</w:t>
      </w:r>
    </w:p>
    <w:p w:rsidR="00343F58" w:rsidRPr="002D5571" w:rsidRDefault="00343F58" w:rsidP="00343F5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="B Lotus"/>
          <w:sz w:val="28"/>
          <w:szCs w:val="28"/>
        </w:rPr>
      </w:pPr>
      <w:r w:rsidRPr="002D5571">
        <w:rPr>
          <w:rFonts w:cs="B Lotus"/>
          <w:sz w:val="28"/>
          <w:szCs w:val="28"/>
          <w:rtl/>
        </w:rPr>
        <w:t>نجفي، مهدي «بررسي فرآيند تامين مالي از طريق انتشار اوراق صكوك»؛ ماهنامه بورس؛ آبان 1385.</w:t>
      </w:r>
    </w:p>
    <w:p w:rsidR="00343F58" w:rsidRPr="002D5571" w:rsidRDefault="00343F58" w:rsidP="00343F5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="B Lotus"/>
          <w:sz w:val="28"/>
          <w:szCs w:val="28"/>
        </w:rPr>
      </w:pPr>
      <w:r w:rsidRPr="002D5571">
        <w:rPr>
          <w:rFonts w:cs="B Lotus"/>
          <w:sz w:val="28"/>
          <w:szCs w:val="28"/>
          <w:rtl/>
        </w:rPr>
        <w:t>پهلوان حميد (1386)؛ « بازار صكوك» ماهنامه بورس؛ فروردين 1386</w:t>
      </w:r>
    </w:p>
    <w:p w:rsidR="00343F58" w:rsidRPr="002D5571" w:rsidRDefault="00343F58" w:rsidP="00343F5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="B Lotus"/>
          <w:sz w:val="28"/>
          <w:szCs w:val="28"/>
        </w:rPr>
      </w:pPr>
      <w:r w:rsidRPr="002D5571">
        <w:rPr>
          <w:rFonts w:cs="B Lotus"/>
          <w:sz w:val="28"/>
          <w:szCs w:val="28"/>
          <w:rtl/>
        </w:rPr>
        <w:t>سروش، ابوذر، بررسي اوراق صكوك اجاره، مجله بورس، شماره 65</w:t>
      </w:r>
    </w:p>
    <w:p w:rsidR="00343F58" w:rsidRPr="002D5571" w:rsidRDefault="00343F58" w:rsidP="00343F5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="B Lotus"/>
          <w:sz w:val="28"/>
          <w:szCs w:val="28"/>
        </w:rPr>
      </w:pPr>
      <w:r w:rsidRPr="002D5571">
        <w:rPr>
          <w:rFonts w:cs="B Lotus"/>
          <w:sz w:val="28"/>
          <w:szCs w:val="28"/>
          <w:rtl/>
        </w:rPr>
        <w:t>مصوبات كميته فقهي بورس اوراق بهادار، بورس اوراق بهادار،</w:t>
      </w:r>
    </w:p>
    <w:p w:rsidR="00343F58" w:rsidRPr="002D5571" w:rsidRDefault="00343F58" w:rsidP="00343F5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="B Lotus"/>
          <w:sz w:val="28"/>
          <w:szCs w:val="28"/>
        </w:rPr>
      </w:pPr>
      <w:r w:rsidRPr="002D5571">
        <w:rPr>
          <w:rFonts w:cs="B Lotus"/>
          <w:sz w:val="28"/>
          <w:szCs w:val="28"/>
          <w:rtl/>
        </w:rPr>
        <w:t>فطرس، محمد حسن و حسين محمودي؛ صكوك، ابزاري مناسب براي جانشيني اوراق قرضه</w:t>
      </w:r>
    </w:p>
    <w:p w:rsidR="00343F58" w:rsidRPr="002D5571" w:rsidRDefault="00343F58" w:rsidP="00343F58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Lotus"/>
          <w:sz w:val="28"/>
          <w:szCs w:val="28"/>
        </w:rPr>
      </w:pPr>
      <w:r w:rsidRPr="002D5571">
        <w:rPr>
          <w:rFonts w:cs="B Lotus" w:hint="cs"/>
          <w:sz w:val="28"/>
          <w:szCs w:val="28"/>
          <w:rtl/>
        </w:rPr>
        <w:t>موسوي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بیوکی،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سید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محمد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مهدي،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بررسی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تطبیقی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مشتقات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اعتباري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بافقه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امامیه،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سید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عباس</w:t>
      </w:r>
      <w:r w:rsidR="002D5571">
        <w:rPr>
          <w:rFonts w:cs="B Lotus" w:hint="cs"/>
          <w:sz w:val="28"/>
          <w:szCs w:val="28"/>
          <w:rtl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موسویان،پایان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نامه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کارشناسی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ارشد،دانشگاه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امام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صادق (ع)</w:t>
      </w:r>
    </w:p>
    <w:p w:rsidR="00343F58" w:rsidRPr="002D5571" w:rsidRDefault="00343F58" w:rsidP="00EF273D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Lotus"/>
          <w:sz w:val="28"/>
          <w:szCs w:val="28"/>
        </w:rPr>
      </w:pPr>
      <w:r w:rsidRPr="002D5571">
        <w:rPr>
          <w:rFonts w:cs="B Lotus" w:hint="cs"/>
          <w:sz w:val="28"/>
          <w:szCs w:val="28"/>
          <w:rtl/>
        </w:rPr>
        <w:t>ابوالحسنی،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اصغر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و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حسنی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مقدم،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رفیع</w:t>
      </w:r>
      <w:r w:rsidR="00EF273D" w:rsidRPr="002D5571">
        <w:rPr>
          <w:rFonts w:cs="B Lotus" w:hint="cs"/>
          <w:sz w:val="28"/>
          <w:szCs w:val="28"/>
          <w:rtl/>
        </w:rPr>
        <w:t xml:space="preserve"> (</w:t>
      </w:r>
      <w:r w:rsidRPr="002D5571">
        <w:rPr>
          <w:rFonts w:cs="B Lotus" w:hint="cs"/>
          <w:sz w:val="28"/>
          <w:szCs w:val="28"/>
          <w:rtl/>
        </w:rPr>
        <w:t>بررسی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انواع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ریسکها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و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روشهاي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مدیریت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آن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در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نظام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بانکداري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بدون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رباي</w:t>
      </w:r>
      <w:r w:rsidRPr="002D5571">
        <w:rPr>
          <w:rFonts w:cs="B Lotus"/>
          <w:sz w:val="28"/>
          <w:szCs w:val="28"/>
        </w:rPr>
        <w:t xml:space="preserve"> </w:t>
      </w:r>
      <w:r w:rsidR="00EF273D" w:rsidRPr="002D5571">
        <w:rPr>
          <w:rFonts w:cs="B Lotus" w:hint="cs"/>
          <w:sz w:val="28"/>
          <w:szCs w:val="28"/>
          <w:rtl/>
        </w:rPr>
        <w:t>ایران)</w:t>
      </w:r>
    </w:p>
    <w:p w:rsidR="00EF273D" w:rsidRPr="002D5571" w:rsidRDefault="00EF273D" w:rsidP="00EF273D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Lotus"/>
          <w:sz w:val="28"/>
          <w:szCs w:val="28"/>
        </w:rPr>
      </w:pPr>
      <w:r w:rsidRPr="002D5571">
        <w:rPr>
          <w:rFonts w:cs="B Lotus" w:hint="cs"/>
          <w:sz w:val="28"/>
          <w:szCs w:val="28"/>
          <w:rtl/>
        </w:rPr>
        <w:t>ابزار مالی صکوک،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موسویان،سید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عباس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،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تهران،پژوهشگاه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فرهنگ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و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اندیشه</w:t>
      </w:r>
      <w:r w:rsidRPr="002D5571">
        <w:rPr>
          <w:rFonts w:cs="B Lotus"/>
          <w:sz w:val="28"/>
          <w:szCs w:val="28"/>
        </w:rPr>
        <w:t xml:space="preserve"> </w:t>
      </w:r>
      <w:r w:rsidRPr="002D5571">
        <w:rPr>
          <w:rFonts w:cs="B Lotus" w:hint="cs"/>
          <w:sz w:val="28"/>
          <w:szCs w:val="28"/>
          <w:rtl/>
        </w:rPr>
        <w:t>اسلامی،اول</w:t>
      </w:r>
    </w:p>
    <w:p w:rsidR="00EF273D" w:rsidRPr="002D5571" w:rsidRDefault="00EF273D" w:rsidP="00EF273D">
      <w:pPr>
        <w:spacing w:line="360" w:lineRule="auto"/>
        <w:jc w:val="both"/>
        <w:rPr>
          <w:rFonts w:cs="B Lotus"/>
          <w:sz w:val="28"/>
          <w:szCs w:val="28"/>
          <w:rtl/>
        </w:rPr>
      </w:pPr>
    </w:p>
    <w:p w:rsidR="00EF273D" w:rsidRPr="002D5571" w:rsidRDefault="00EF273D" w:rsidP="00EF273D">
      <w:pPr>
        <w:spacing w:line="360" w:lineRule="auto"/>
        <w:jc w:val="both"/>
        <w:rPr>
          <w:rFonts w:cs="B Lotus"/>
          <w:sz w:val="28"/>
          <w:szCs w:val="28"/>
          <w:rtl/>
        </w:rPr>
      </w:pPr>
    </w:p>
    <w:p w:rsidR="00EF273D" w:rsidRPr="002D5571" w:rsidRDefault="00EF273D" w:rsidP="00EF273D">
      <w:pPr>
        <w:spacing w:line="360" w:lineRule="auto"/>
        <w:jc w:val="both"/>
        <w:rPr>
          <w:rFonts w:cs="B Lotus"/>
          <w:sz w:val="28"/>
          <w:szCs w:val="28"/>
          <w:rtl/>
        </w:rPr>
      </w:pPr>
    </w:p>
    <w:p w:rsidR="00EF273D" w:rsidRPr="002D5571" w:rsidRDefault="00EF273D" w:rsidP="00EF273D">
      <w:pPr>
        <w:spacing w:line="360" w:lineRule="auto"/>
        <w:jc w:val="both"/>
        <w:rPr>
          <w:rFonts w:cs="B Lotus"/>
          <w:sz w:val="28"/>
          <w:szCs w:val="28"/>
          <w:rtl/>
        </w:rPr>
      </w:pPr>
    </w:p>
    <w:p w:rsidR="00EF273D" w:rsidRPr="002D5571" w:rsidRDefault="00EF273D" w:rsidP="00EF273D">
      <w:pPr>
        <w:spacing w:line="360" w:lineRule="auto"/>
        <w:jc w:val="both"/>
        <w:rPr>
          <w:rFonts w:cs="B Lotus"/>
          <w:b/>
          <w:bCs/>
          <w:sz w:val="32"/>
          <w:szCs w:val="32"/>
          <w:rtl/>
        </w:rPr>
      </w:pPr>
      <w:r w:rsidRPr="002D5571">
        <w:rPr>
          <w:rFonts w:cs="B Lotus" w:hint="cs"/>
          <w:b/>
          <w:bCs/>
          <w:sz w:val="32"/>
          <w:szCs w:val="32"/>
          <w:rtl/>
        </w:rPr>
        <w:lastRenderedPageBreak/>
        <w:t>فهرست منابع خارجی</w:t>
      </w:r>
    </w:p>
    <w:p w:rsidR="00EF273D" w:rsidRPr="004D4AE3" w:rsidRDefault="00EF273D" w:rsidP="00D016E6">
      <w:pPr>
        <w:pStyle w:val="ListParagraph"/>
        <w:numPr>
          <w:ilvl w:val="0"/>
          <w:numId w:val="3"/>
        </w:numPr>
        <w:bidi w:val="0"/>
        <w:spacing w:line="360" w:lineRule="auto"/>
        <w:ind w:left="720"/>
        <w:jc w:val="both"/>
        <w:rPr>
          <w:rFonts w:asciiTheme="majorBidi" w:hAnsiTheme="majorBidi" w:cstheme="majorBidi"/>
          <w:sz w:val="32"/>
          <w:szCs w:val="32"/>
        </w:rPr>
      </w:pPr>
      <w:r w:rsidRPr="004D4AE3">
        <w:rPr>
          <w:rFonts w:asciiTheme="majorBidi" w:hAnsiTheme="majorBidi" w:cstheme="majorBidi"/>
          <w:sz w:val="28"/>
          <w:szCs w:val="28"/>
        </w:rPr>
        <w:t>Manama: Accounting and Auditing Organization for Islamic Financial</w:t>
      </w:r>
      <w:r w:rsidRPr="002D5571">
        <w:rPr>
          <w:rFonts w:cs="B Lotus"/>
          <w:sz w:val="32"/>
          <w:szCs w:val="32"/>
        </w:rPr>
        <w:t xml:space="preserve"> </w:t>
      </w:r>
      <w:r w:rsidRPr="004D4AE3">
        <w:rPr>
          <w:rFonts w:asciiTheme="majorBidi" w:hAnsiTheme="majorBidi" w:cstheme="majorBidi"/>
          <w:sz w:val="28"/>
          <w:szCs w:val="28"/>
        </w:rPr>
        <w:t>Institutions</w:t>
      </w:r>
    </w:p>
    <w:p w:rsidR="00EF273D" w:rsidRPr="004D4AE3" w:rsidRDefault="00EF273D" w:rsidP="00D016E6">
      <w:pPr>
        <w:pStyle w:val="ListParagraph"/>
        <w:numPr>
          <w:ilvl w:val="0"/>
          <w:numId w:val="3"/>
        </w:numPr>
        <w:autoSpaceDE w:val="0"/>
        <w:autoSpaceDN w:val="0"/>
        <w:bidi w:val="0"/>
        <w:adjustRightInd w:val="0"/>
        <w:spacing w:line="240" w:lineRule="auto"/>
        <w:ind w:left="720"/>
        <w:rPr>
          <w:rFonts w:asciiTheme="majorBidi" w:hAnsiTheme="majorBidi" w:cstheme="majorBidi"/>
          <w:sz w:val="28"/>
          <w:szCs w:val="28"/>
        </w:rPr>
      </w:pPr>
      <w:proofErr w:type="spellStart"/>
      <w:r w:rsidRPr="004D4AE3">
        <w:rPr>
          <w:rFonts w:asciiTheme="majorBidi" w:hAnsiTheme="majorBidi" w:cstheme="majorBidi"/>
          <w:sz w:val="28"/>
          <w:szCs w:val="28"/>
        </w:rPr>
        <w:t>Bakar</w:t>
      </w:r>
      <w:proofErr w:type="spellEnd"/>
      <w:r w:rsidRPr="004D4AE3">
        <w:rPr>
          <w:rFonts w:asciiTheme="majorBidi" w:hAnsiTheme="majorBidi" w:cstheme="majorBidi"/>
          <w:sz w:val="28"/>
          <w:szCs w:val="28"/>
        </w:rPr>
        <w:t xml:space="preserve">, M. D. (2003), “Contracts in Islamic Commercial and Their Application </w:t>
      </w:r>
    </w:p>
    <w:p w:rsidR="00213357" w:rsidRPr="004D4AE3" w:rsidRDefault="00213357" w:rsidP="00D016E6">
      <w:pPr>
        <w:pStyle w:val="ListParagraph"/>
        <w:numPr>
          <w:ilvl w:val="0"/>
          <w:numId w:val="3"/>
        </w:numPr>
        <w:bidi w:val="0"/>
        <w:ind w:left="720"/>
        <w:rPr>
          <w:rFonts w:asciiTheme="majorBidi" w:hAnsiTheme="majorBidi" w:cstheme="majorBidi"/>
          <w:sz w:val="28"/>
          <w:szCs w:val="28"/>
        </w:rPr>
      </w:pPr>
      <w:r w:rsidRPr="004D4AE3">
        <w:rPr>
          <w:rFonts w:asciiTheme="majorBidi" w:hAnsiTheme="majorBidi" w:cstheme="majorBidi"/>
          <w:sz w:val="28"/>
          <w:szCs w:val="28"/>
        </w:rPr>
        <w:t xml:space="preserve">Brigham, E. C. and </w:t>
      </w:r>
      <w:proofErr w:type="spellStart"/>
      <w:r w:rsidRPr="004D4AE3">
        <w:rPr>
          <w:rFonts w:asciiTheme="majorBidi" w:hAnsiTheme="majorBidi" w:cstheme="majorBidi"/>
          <w:sz w:val="28"/>
          <w:szCs w:val="28"/>
        </w:rPr>
        <w:t>Ehrhardt</w:t>
      </w:r>
      <w:proofErr w:type="spellEnd"/>
      <w:r w:rsidRPr="004D4AE3">
        <w:rPr>
          <w:rFonts w:asciiTheme="majorBidi" w:hAnsiTheme="majorBidi" w:cstheme="majorBidi"/>
          <w:sz w:val="28"/>
          <w:szCs w:val="28"/>
        </w:rPr>
        <w:t xml:space="preserve">, M. C. (2005), </w:t>
      </w:r>
      <w:r w:rsidRPr="004D4AE3">
        <w:rPr>
          <w:rFonts w:asciiTheme="majorBidi" w:hAnsiTheme="majorBidi" w:cstheme="majorBidi"/>
          <w:i/>
          <w:iCs/>
          <w:sz w:val="28"/>
          <w:szCs w:val="28"/>
        </w:rPr>
        <w:t>Financial Management</w:t>
      </w:r>
      <w:r w:rsidRPr="004D4AE3">
        <w:rPr>
          <w:rFonts w:asciiTheme="majorBidi" w:hAnsiTheme="majorBidi" w:cstheme="majorBidi"/>
          <w:sz w:val="28"/>
          <w:szCs w:val="28"/>
        </w:rPr>
        <w:t>,11th ed.USA: Thomson South Western Publishing</w:t>
      </w:r>
    </w:p>
    <w:p w:rsidR="00EF273D" w:rsidRPr="004D4AE3" w:rsidRDefault="00213357" w:rsidP="00D016E6">
      <w:pPr>
        <w:pStyle w:val="ListParagraph"/>
        <w:numPr>
          <w:ilvl w:val="0"/>
          <w:numId w:val="3"/>
        </w:numPr>
        <w:bidi w:val="0"/>
        <w:spacing w:line="360" w:lineRule="auto"/>
        <w:ind w:left="720"/>
        <w:jc w:val="both"/>
        <w:rPr>
          <w:rFonts w:asciiTheme="majorBidi" w:hAnsiTheme="majorBidi" w:cstheme="majorBidi"/>
          <w:sz w:val="32"/>
          <w:szCs w:val="32"/>
        </w:rPr>
      </w:pPr>
      <w:proofErr w:type="spellStart"/>
      <w:r w:rsidRPr="004D4AE3">
        <w:rPr>
          <w:rFonts w:asciiTheme="majorBidi" w:hAnsiTheme="majorBidi" w:cstheme="majorBidi"/>
          <w:sz w:val="32"/>
          <w:szCs w:val="32"/>
        </w:rPr>
        <w:t>Hamat</w:t>
      </w:r>
      <w:proofErr w:type="spellEnd"/>
      <w:r w:rsidRPr="004D4AE3">
        <w:rPr>
          <w:rFonts w:asciiTheme="majorBidi" w:hAnsiTheme="majorBidi" w:cstheme="majorBidi"/>
          <w:sz w:val="32"/>
          <w:szCs w:val="32"/>
        </w:rPr>
        <w:t>, M. (1994), “Accounting Issues in the Operation of Islamic Banking”</w:t>
      </w:r>
    </w:p>
    <w:p w:rsidR="00213357" w:rsidRPr="004D4AE3" w:rsidRDefault="00213357" w:rsidP="00D016E6">
      <w:pPr>
        <w:pStyle w:val="ListParagraph"/>
        <w:numPr>
          <w:ilvl w:val="0"/>
          <w:numId w:val="3"/>
        </w:numPr>
        <w:autoSpaceDE w:val="0"/>
        <w:autoSpaceDN w:val="0"/>
        <w:bidi w:val="0"/>
        <w:adjustRightInd w:val="0"/>
        <w:spacing w:line="240" w:lineRule="auto"/>
        <w:ind w:left="720"/>
        <w:rPr>
          <w:rFonts w:asciiTheme="majorBidi" w:hAnsiTheme="majorBidi" w:cstheme="majorBidi"/>
          <w:sz w:val="28"/>
          <w:szCs w:val="28"/>
        </w:rPr>
      </w:pPr>
      <w:r w:rsidRPr="004D4AE3">
        <w:rPr>
          <w:rFonts w:asciiTheme="majorBidi" w:hAnsiTheme="majorBidi" w:cstheme="majorBidi"/>
          <w:sz w:val="28"/>
          <w:szCs w:val="28"/>
        </w:rPr>
        <w:t xml:space="preserve">Ismail, H. and </w:t>
      </w:r>
      <w:proofErr w:type="spellStart"/>
      <w:r w:rsidRPr="004D4AE3">
        <w:rPr>
          <w:rFonts w:asciiTheme="majorBidi" w:hAnsiTheme="majorBidi" w:cstheme="majorBidi"/>
          <w:sz w:val="28"/>
          <w:szCs w:val="28"/>
        </w:rPr>
        <w:t>Latiff</w:t>
      </w:r>
      <w:proofErr w:type="spellEnd"/>
      <w:r w:rsidRPr="004D4AE3">
        <w:rPr>
          <w:rFonts w:asciiTheme="majorBidi" w:hAnsiTheme="majorBidi" w:cstheme="majorBidi"/>
          <w:sz w:val="28"/>
          <w:szCs w:val="28"/>
        </w:rPr>
        <w:t>, A. R. (1999), “Reporting Islamic Based Transactions: Question of Substance”</w:t>
      </w:r>
    </w:p>
    <w:p w:rsidR="00213357" w:rsidRPr="004D4AE3" w:rsidRDefault="00213357" w:rsidP="00D016E6">
      <w:pPr>
        <w:pStyle w:val="ListParagraph"/>
        <w:numPr>
          <w:ilvl w:val="0"/>
          <w:numId w:val="3"/>
        </w:numPr>
        <w:autoSpaceDE w:val="0"/>
        <w:autoSpaceDN w:val="0"/>
        <w:bidi w:val="0"/>
        <w:adjustRightInd w:val="0"/>
        <w:spacing w:line="240" w:lineRule="auto"/>
        <w:ind w:left="720"/>
        <w:rPr>
          <w:rFonts w:asciiTheme="majorBidi" w:hAnsiTheme="majorBidi" w:cstheme="majorBidi"/>
          <w:sz w:val="28"/>
          <w:szCs w:val="28"/>
        </w:rPr>
      </w:pPr>
      <w:proofErr w:type="spellStart"/>
      <w:r w:rsidRPr="004D4AE3">
        <w:rPr>
          <w:rFonts w:asciiTheme="majorBidi" w:hAnsiTheme="majorBidi" w:cstheme="majorBidi"/>
          <w:sz w:val="28"/>
          <w:szCs w:val="28"/>
        </w:rPr>
        <w:t>Kahf</w:t>
      </w:r>
      <w:proofErr w:type="spellEnd"/>
      <w:r w:rsidRPr="004D4AE3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Pr="004D4AE3">
        <w:rPr>
          <w:rFonts w:asciiTheme="majorBidi" w:hAnsiTheme="majorBidi" w:cstheme="majorBidi"/>
          <w:sz w:val="28"/>
          <w:szCs w:val="28"/>
        </w:rPr>
        <w:t>Monzer</w:t>
      </w:r>
      <w:proofErr w:type="spellEnd"/>
      <w:r w:rsidRPr="004D4AE3">
        <w:rPr>
          <w:rFonts w:asciiTheme="majorBidi" w:hAnsiTheme="majorBidi" w:cstheme="majorBidi"/>
          <w:sz w:val="28"/>
          <w:szCs w:val="28"/>
        </w:rPr>
        <w:t>, «SUKUK: PRINCIPLES, STRUCTURE</w:t>
      </w:r>
      <w:r w:rsidRPr="004D4AE3">
        <w:rPr>
          <w:rFonts w:asciiTheme="majorBidi" w:hAnsiTheme="majorBidi" w:cstheme="majorBidi"/>
          <w:sz w:val="28"/>
          <w:szCs w:val="28"/>
          <w:rtl/>
        </w:rPr>
        <w:t xml:space="preserve"> &amp; </w:t>
      </w:r>
      <w:r w:rsidRPr="004D4AE3">
        <w:rPr>
          <w:rFonts w:asciiTheme="majorBidi" w:hAnsiTheme="majorBidi" w:cstheme="majorBidi"/>
          <w:sz w:val="28"/>
          <w:szCs w:val="28"/>
        </w:rPr>
        <w:t>PERFORMANCE”, 23-25 October</w:t>
      </w:r>
      <w:r w:rsidRPr="004D4AE3">
        <w:rPr>
          <w:rFonts w:asciiTheme="majorBidi" w:hAnsiTheme="majorBidi" w:cstheme="majorBidi"/>
          <w:sz w:val="28"/>
          <w:szCs w:val="28"/>
          <w:rtl/>
        </w:rPr>
        <w:t xml:space="preserve"> 2007, </w:t>
      </w:r>
      <w:r w:rsidRPr="004D4AE3">
        <w:rPr>
          <w:rFonts w:asciiTheme="majorBidi" w:hAnsiTheme="majorBidi" w:cstheme="majorBidi"/>
          <w:sz w:val="28"/>
          <w:szCs w:val="28"/>
        </w:rPr>
        <w:t>available</w:t>
      </w:r>
    </w:p>
    <w:p w:rsidR="00213357" w:rsidRPr="004D4AE3" w:rsidRDefault="00213357" w:rsidP="00D016E6">
      <w:pPr>
        <w:pStyle w:val="ListParagraph"/>
        <w:numPr>
          <w:ilvl w:val="0"/>
          <w:numId w:val="3"/>
        </w:numPr>
        <w:bidi w:val="0"/>
        <w:ind w:left="720"/>
        <w:rPr>
          <w:rFonts w:asciiTheme="majorBidi" w:hAnsiTheme="majorBidi" w:cstheme="majorBidi"/>
          <w:sz w:val="28"/>
          <w:szCs w:val="28"/>
        </w:rPr>
      </w:pPr>
      <w:r w:rsidRPr="004D4AE3">
        <w:rPr>
          <w:rFonts w:asciiTheme="majorBidi" w:hAnsiTheme="majorBidi" w:cstheme="majorBidi"/>
          <w:sz w:val="28"/>
          <w:szCs w:val="28"/>
        </w:rPr>
        <w:t xml:space="preserve">Ismail, H. and </w:t>
      </w:r>
      <w:proofErr w:type="spellStart"/>
      <w:r w:rsidRPr="004D4AE3">
        <w:rPr>
          <w:rFonts w:asciiTheme="majorBidi" w:hAnsiTheme="majorBidi" w:cstheme="majorBidi"/>
          <w:sz w:val="28"/>
          <w:szCs w:val="28"/>
        </w:rPr>
        <w:t>Latiff</w:t>
      </w:r>
      <w:proofErr w:type="spellEnd"/>
      <w:r w:rsidRPr="004D4AE3">
        <w:rPr>
          <w:rFonts w:asciiTheme="majorBidi" w:hAnsiTheme="majorBidi" w:cstheme="majorBidi"/>
          <w:sz w:val="28"/>
          <w:szCs w:val="28"/>
        </w:rPr>
        <w:t>, A. R. (2000), “Financial Reporting of Islamic Banks: Research Highlights”</w:t>
      </w:r>
    </w:p>
    <w:p w:rsidR="00213357" w:rsidRPr="004D4AE3" w:rsidRDefault="00213357" w:rsidP="00D016E6">
      <w:pPr>
        <w:pStyle w:val="ListParagraph"/>
        <w:numPr>
          <w:ilvl w:val="0"/>
          <w:numId w:val="3"/>
        </w:numPr>
        <w:bidi w:val="0"/>
        <w:ind w:left="720"/>
        <w:rPr>
          <w:rFonts w:asciiTheme="majorBidi" w:hAnsiTheme="majorBidi" w:cstheme="majorBidi"/>
          <w:i/>
          <w:iCs/>
          <w:sz w:val="28"/>
          <w:szCs w:val="28"/>
        </w:rPr>
      </w:pPr>
      <w:r w:rsidRPr="004D4AE3">
        <w:rPr>
          <w:rFonts w:asciiTheme="majorBidi" w:hAnsiTheme="majorBidi" w:cstheme="majorBidi"/>
          <w:sz w:val="28"/>
          <w:szCs w:val="28"/>
        </w:rPr>
        <w:t xml:space="preserve">Ismail, H. and </w:t>
      </w:r>
      <w:proofErr w:type="spellStart"/>
      <w:r w:rsidRPr="004D4AE3">
        <w:rPr>
          <w:rFonts w:asciiTheme="majorBidi" w:hAnsiTheme="majorBidi" w:cstheme="majorBidi"/>
          <w:sz w:val="28"/>
          <w:szCs w:val="28"/>
        </w:rPr>
        <w:t>Latiff</w:t>
      </w:r>
      <w:proofErr w:type="spellEnd"/>
      <w:r w:rsidRPr="004D4AE3">
        <w:rPr>
          <w:rFonts w:asciiTheme="majorBidi" w:hAnsiTheme="majorBidi" w:cstheme="majorBidi"/>
          <w:sz w:val="28"/>
          <w:szCs w:val="28"/>
        </w:rPr>
        <w:t xml:space="preserve">, A. R. (2001), </w:t>
      </w:r>
      <w:r w:rsidRPr="004D4AE3">
        <w:rPr>
          <w:rFonts w:asciiTheme="majorBidi" w:hAnsiTheme="majorBidi" w:cstheme="majorBidi"/>
          <w:i/>
          <w:iCs/>
          <w:sz w:val="28"/>
          <w:szCs w:val="28"/>
        </w:rPr>
        <w:t xml:space="preserve">Survey &amp; Analysis of Financial </w:t>
      </w:r>
      <w:proofErr w:type="spellStart"/>
      <w:r w:rsidRPr="004D4AE3">
        <w:rPr>
          <w:rFonts w:asciiTheme="majorBidi" w:hAnsiTheme="majorBidi" w:cstheme="majorBidi"/>
          <w:i/>
          <w:iCs/>
          <w:sz w:val="28"/>
          <w:szCs w:val="28"/>
        </w:rPr>
        <w:t>Reportingof</w:t>
      </w:r>
      <w:proofErr w:type="spellEnd"/>
      <w:r w:rsidRPr="004D4AE3">
        <w:rPr>
          <w:rFonts w:asciiTheme="majorBidi" w:hAnsiTheme="majorBidi" w:cstheme="majorBidi"/>
          <w:i/>
          <w:iCs/>
          <w:sz w:val="28"/>
          <w:szCs w:val="28"/>
        </w:rPr>
        <w:t xml:space="preserve"> Islamic Banks Worldwide</w:t>
      </w:r>
    </w:p>
    <w:p w:rsidR="00213357" w:rsidRPr="004D4AE3" w:rsidRDefault="00213357" w:rsidP="00D016E6">
      <w:pPr>
        <w:pStyle w:val="ListParagraph"/>
        <w:numPr>
          <w:ilvl w:val="0"/>
          <w:numId w:val="3"/>
        </w:numPr>
        <w:bidi w:val="0"/>
        <w:ind w:left="720"/>
        <w:rPr>
          <w:rFonts w:asciiTheme="majorBidi" w:hAnsiTheme="majorBidi" w:cstheme="majorBidi"/>
          <w:i/>
          <w:iCs/>
          <w:sz w:val="28"/>
          <w:szCs w:val="28"/>
        </w:rPr>
      </w:pPr>
      <w:r w:rsidRPr="004D4AE3">
        <w:rPr>
          <w:rFonts w:asciiTheme="majorBidi" w:hAnsiTheme="majorBidi" w:cstheme="majorBidi"/>
          <w:i/>
          <w:iCs/>
          <w:sz w:val="28"/>
          <w:szCs w:val="28"/>
        </w:rPr>
        <w:t xml:space="preserve">Middle East Business News and Company Directory (n. d.), “Development </w:t>
      </w:r>
      <w:proofErr w:type="spellStart"/>
      <w:r w:rsidRPr="004D4AE3">
        <w:rPr>
          <w:rFonts w:asciiTheme="majorBidi" w:hAnsiTheme="majorBidi" w:cstheme="majorBidi"/>
          <w:i/>
          <w:iCs/>
          <w:sz w:val="28"/>
          <w:szCs w:val="28"/>
        </w:rPr>
        <w:t>andRegulation</w:t>
      </w:r>
      <w:proofErr w:type="spellEnd"/>
      <w:r w:rsidRPr="004D4AE3">
        <w:rPr>
          <w:rFonts w:asciiTheme="majorBidi" w:hAnsiTheme="majorBidi" w:cstheme="majorBidi"/>
          <w:i/>
          <w:iCs/>
          <w:sz w:val="28"/>
          <w:szCs w:val="28"/>
        </w:rPr>
        <w:t xml:space="preserve"> of the </w:t>
      </w:r>
      <w:proofErr w:type="spellStart"/>
      <w:r w:rsidRPr="004D4AE3">
        <w:rPr>
          <w:rFonts w:asciiTheme="majorBidi" w:hAnsiTheme="majorBidi" w:cstheme="majorBidi"/>
          <w:i/>
          <w:iCs/>
          <w:sz w:val="28"/>
          <w:szCs w:val="28"/>
        </w:rPr>
        <w:t>Sukuk</w:t>
      </w:r>
      <w:proofErr w:type="spellEnd"/>
      <w:r w:rsidRPr="004D4AE3">
        <w:rPr>
          <w:rFonts w:asciiTheme="majorBidi" w:hAnsiTheme="majorBidi" w:cstheme="majorBidi"/>
          <w:i/>
          <w:iCs/>
          <w:sz w:val="28"/>
          <w:szCs w:val="28"/>
        </w:rPr>
        <w:t xml:space="preserve"> Market in Malaysia”</w:t>
      </w:r>
    </w:p>
    <w:p w:rsidR="00213357" w:rsidRPr="004D4AE3" w:rsidRDefault="00213357" w:rsidP="00D016E6">
      <w:pPr>
        <w:pStyle w:val="ListParagraph"/>
        <w:numPr>
          <w:ilvl w:val="0"/>
          <w:numId w:val="3"/>
        </w:numPr>
        <w:bidi w:val="0"/>
        <w:spacing w:line="360" w:lineRule="auto"/>
        <w:ind w:left="720"/>
        <w:jc w:val="both"/>
        <w:rPr>
          <w:rFonts w:asciiTheme="majorBidi" w:hAnsiTheme="majorBidi" w:cstheme="majorBidi"/>
          <w:i/>
          <w:iCs/>
          <w:sz w:val="28"/>
          <w:szCs w:val="28"/>
          <w:rtl/>
        </w:rPr>
      </w:pPr>
      <w:proofErr w:type="spellStart"/>
      <w:r w:rsidRPr="004D4AE3">
        <w:rPr>
          <w:rFonts w:asciiTheme="majorBidi" w:hAnsiTheme="majorBidi" w:cstheme="majorBidi"/>
          <w:i/>
          <w:iCs/>
          <w:sz w:val="28"/>
          <w:szCs w:val="28"/>
        </w:rPr>
        <w:t>Moustapha</w:t>
      </w:r>
      <w:proofErr w:type="spellEnd"/>
      <w:r w:rsidRPr="004D4AE3">
        <w:rPr>
          <w:rFonts w:asciiTheme="majorBidi" w:hAnsiTheme="majorBidi" w:cstheme="majorBidi"/>
          <w:i/>
          <w:iCs/>
          <w:sz w:val="28"/>
          <w:szCs w:val="28"/>
        </w:rPr>
        <w:t>, S. K. (2001), The Sale of Debt: As Implemented by the Islamic Financial Institutions in Malaysia</w:t>
      </w:r>
    </w:p>
    <w:p w:rsidR="00EF273D" w:rsidRPr="004D4AE3" w:rsidRDefault="00213357" w:rsidP="00D016E6">
      <w:pPr>
        <w:pStyle w:val="ListParagraph"/>
        <w:numPr>
          <w:ilvl w:val="0"/>
          <w:numId w:val="3"/>
        </w:numPr>
        <w:bidi w:val="0"/>
        <w:spacing w:line="360" w:lineRule="auto"/>
        <w:ind w:left="720"/>
        <w:jc w:val="both"/>
        <w:rPr>
          <w:rFonts w:asciiTheme="majorBidi" w:hAnsiTheme="majorBidi" w:cstheme="majorBidi"/>
          <w:sz w:val="32"/>
          <w:szCs w:val="32"/>
        </w:rPr>
      </w:pPr>
      <w:r w:rsidRPr="004D4AE3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="00D016E6" w:rsidRPr="004D4AE3">
        <w:rPr>
          <w:rFonts w:asciiTheme="majorBidi" w:hAnsiTheme="majorBidi" w:cstheme="majorBidi"/>
          <w:sz w:val="32"/>
          <w:szCs w:val="32"/>
        </w:rPr>
        <w:t>Rahman</w:t>
      </w:r>
      <w:proofErr w:type="spellEnd"/>
      <w:r w:rsidR="00D016E6" w:rsidRPr="004D4AE3">
        <w:rPr>
          <w:rFonts w:asciiTheme="majorBidi" w:hAnsiTheme="majorBidi" w:cstheme="majorBidi"/>
          <w:sz w:val="32"/>
          <w:szCs w:val="32"/>
        </w:rPr>
        <w:t>, A. R. (2003), “Accounting Regulatory Issues on Investments In Islamic Bonds”</w:t>
      </w:r>
    </w:p>
    <w:p w:rsidR="00D016E6" w:rsidRPr="004D4AE3" w:rsidRDefault="00D016E6" w:rsidP="00D016E6">
      <w:pPr>
        <w:pStyle w:val="ListParagraph"/>
        <w:numPr>
          <w:ilvl w:val="0"/>
          <w:numId w:val="3"/>
        </w:numPr>
        <w:bidi w:val="0"/>
        <w:spacing w:line="360" w:lineRule="auto"/>
        <w:ind w:left="720"/>
        <w:jc w:val="both"/>
        <w:rPr>
          <w:rFonts w:asciiTheme="majorBidi" w:hAnsiTheme="majorBidi" w:cstheme="majorBidi"/>
          <w:sz w:val="32"/>
          <w:szCs w:val="32"/>
        </w:rPr>
      </w:pPr>
      <w:proofErr w:type="spellStart"/>
      <w:r w:rsidRPr="004D4AE3">
        <w:rPr>
          <w:rFonts w:asciiTheme="majorBidi" w:hAnsiTheme="majorBidi" w:cstheme="majorBidi"/>
          <w:sz w:val="32"/>
          <w:szCs w:val="32"/>
        </w:rPr>
        <w:t>Rosly</w:t>
      </w:r>
      <w:proofErr w:type="spellEnd"/>
      <w:r w:rsidRPr="004D4AE3">
        <w:rPr>
          <w:rFonts w:asciiTheme="majorBidi" w:hAnsiTheme="majorBidi" w:cstheme="majorBidi"/>
          <w:sz w:val="32"/>
          <w:szCs w:val="32"/>
        </w:rPr>
        <w:t xml:space="preserve">, S. A. (2001), “Some Issues of </w:t>
      </w:r>
      <w:r w:rsidRPr="004D4AE3">
        <w:rPr>
          <w:rFonts w:asciiTheme="majorBidi" w:hAnsiTheme="majorBidi" w:cstheme="majorBidi"/>
          <w:i/>
          <w:iCs/>
          <w:sz w:val="32"/>
          <w:szCs w:val="32"/>
        </w:rPr>
        <w:t>Bay‘ al-‘</w:t>
      </w:r>
      <w:proofErr w:type="spellStart"/>
      <w:r w:rsidRPr="004D4AE3">
        <w:rPr>
          <w:rFonts w:asciiTheme="majorBidi" w:hAnsiTheme="majorBidi" w:cstheme="majorBidi"/>
          <w:i/>
          <w:iCs/>
          <w:sz w:val="32"/>
          <w:szCs w:val="32"/>
        </w:rPr>
        <w:t>Inah</w:t>
      </w:r>
      <w:proofErr w:type="spellEnd"/>
      <w:r w:rsidRPr="004D4AE3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4D4AE3">
        <w:rPr>
          <w:rFonts w:asciiTheme="majorBidi" w:hAnsiTheme="majorBidi" w:cstheme="majorBidi"/>
          <w:sz w:val="32"/>
          <w:szCs w:val="32"/>
        </w:rPr>
        <w:t>in Malaysian Islamic Financial Markets”</w:t>
      </w:r>
    </w:p>
    <w:sectPr w:rsidR="00D016E6" w:rsidRPr="004D4AE3" w:rsidSect="0054728C">
      <w:pgSz w:w="11906" w:h="16838"/>
      <w:pgMar w:top="1701" w:right="1985" w:bottom="1701" w:left="1418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70016"/>
    <w:multiLevelType w:val="hybridMultilevel"/>
    <w:tmpl w:val="BBCACE4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7639C2"/>
    <w:multiLevelType w:val="hybridMultilevel"/>
    <w:tmpl w:val="0A302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447CA"/>
    <w:multiLevelType w:val="hybridMultilevel"/>
    <w:tmpl w:val="CAF6D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4728C"/>
    <w:rsid w:val="00061BAA"/>
    <w:rsid w:val="00213357"/>
    <w:rsid w:val="00276266"/>
    <w:rsid w:val="002D5571"/>
    <w:rsid w:val="00343F58"/>
    <w:rsid w:val="00370D76"/>
    <w:rsid w:val="00486E66"/>
    <w:rsid w:val="004D4AE3"/>
    <w:rsid w:val="00524211"/>
    <w:rsid w:val="0054728C"/>
    <w:rsid w:val="00554EFD"/>
    <w:rsid w:val="008A29CE"/>
    <w:rsid w:val="00C739FA"/>
    <w:rsid w:val="00D016E6"/>
    <w:rsid w:val="00D50E66"/>
    <w:rsid w:val="00EF273D"/>
    <w:rsid w:val="00F05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E6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3F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36F7F-804E-4415-BF51-EE9FEC3EA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7</cp:revision>
  <cp:lastPrinted>2011-07-01T14:27:00Z</cp:lastPrinted>
  <dcterms:created xsi:type="dcterms:W3CDTF">2011-04-27T18:24:00Z</dcterms:created>
  <dcterms:modified xsi:type="dcterms:W3CDTF">2011-07-01T14:28:00Z</dcterms:modified>
</cp:coreProperties>
</file>